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C2118" w14:textId="01A12967" w:rsidR="00A4117D" w:rsidRDefault="00372738" w:rsidP="00C6687A">
      <w:pPr>
        <w:spacing w:after="0" w:line="360" w:lineRule="auto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ascii="Arial" w:hAnsi="Arial" w:cs="Arial"/>
          <w:b/>
          <w:bCs/>
          <w:sz w:val="30"/>
          <w:szCs w:val="30"/>
          <w:lang w:val="en-GB"/>
        </w:rPr>
        <w:t>C</w:t>
      </w:r>
      <w:r w:rsidR="00A4117D" w:rsidRPr="00A4117D">
        <w:rPr>
          <w:rFonts w:ascii="Arial" w:hAnsi="Arial" w:cs="Arial"/>
          <w:b/>
          <w:bCs/>
          <w:sz w:val="30"/>
          <w:szCs w:val="30"/>
          <w:lang w:val="en-GB"/>
        </w:rPr>
        <w:t xml:space="preserve">onnectivity at the centre of digital transformation in </w:t>
      </w:r>
      <w:r w:rsidR="005E706C" w:rsidRPr="005E706C">
        <w:rPr>
          <w:rFonts w:ascii="Arial" w:hAnsi="Arial" w:cs="Arial"/>
          <w:b/>
          <w:bCs/>
          <w:sz w:val="30"/>
          <w:szCs w:val="30"/>
          <w:lang w:val="en-GB"/>
        </w:rPr>
        <w:t xml:space="preserve">the underwriting of credit </w:t>
      </w:r>
      <w:r w:rsidR="005E706C">
        <w:rPr>
          <w:rFonts w:ascii="Arial" w:hAnsi="Arial" w:cs="Arial"/>
          <w:b/>
          <w:bCs/>
          <w:sz w:val="30"/>
          <w:szCs w:val="30"/>
          <w:lang w:val="en-GB"/>
        </w:rPr>
        <w:t xml:space="preserve">&amp; </w:t>
      </w:r>
      <w:r w:rsidR="005E706C" w:rsidRPr="005E706C">
        <w:rPr>
          <w:rFonts w:ascii="Arial" w:hAnsi="Arial" w:cs="Arial"/>
          <w:b/>
          <w:bCs/>
          <w:sz w:val="30"/>
          <w:szCs w:val="30"/>
          <w:lang w:val="en-GB"/>
        </w:rPr>
        <w:t>surety insurance</w:t>
      </w:r>
    </w:p>
    <w:p w14:paraId="2E013919" w14:textId="77777777" w:rsidR="00A82DA3" w:rsidRDefault="00A82DA3" w:rsidP="00C6687A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</w:pPr>
    </w:p>
    <w:p w14:paraId="7EF03906" w14:textId="5D03257E" w:rsidR="00523E97" w:rsidRDefault="00523E97" w:rsidP="00523E9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 w:rsidRPr="000709E7">
        <w:rPr>
          <w:rFonts w:ascii="Arial" w:hAnsi="Arial" w:cs="Arial"/>
          <w:sz w:val="24"/>
          <w:szCs w:val="24"/>
          <w:lang w:val="en-US"/>
        </w:rPr>
        <w:t>ajor highlight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0709E7">
        <w:rPr>
          <w:rFonts w:ascii="Arial" w:hAnsi="Arial" w:cs="Arial"/>
          <w:sz w:val="24"/>
          <w:szCs w:val="24"/>
          <w:lang w:val="en-US"/>
        </w:rPr>
        <w:t xml:space="preserve"> in the insurance industry on the most important topics </w:t>
      </w:r>
      <w:r>
        <w:rPr>
          <w:rFonts w:ascii="Arial" w:hAnsi="Arial" w:cs="Arial"/>
          <w:sz w:val="24"/>
          <w:szCs w:val="24"/>
          <w:lang w:val="en-US"/>
        </w:rPr>
        <w:t xml:space="preserve">for the credit insurance and political risk insurance </w:t>
      </w:r>
      <w:r w:rsidRPr="000709E7">
        <w:rPr>
          <w:rFonts w:ascii="Arial" w:hAnsi="Arial" w:cs="Arial"/>
          <w:sz w:val="24"/>
          <w:szCs w:val="24"/>
          <w:lang w:val="en-US"/>
        </w:rPr>
        <w:t>of the time was</w:t>
      </w:r>
      <w:r w:rsidR="00CC55FF">
        <w:rPr>
          <w:rFonts w:ascii="Arial" w:hAnsi="Arial" w:cs="Arial"/>
          <w:sz w:val="24"/>
          <w:szCs w:val="24"/>
          <w:lang w:val="en-US"/>
        </w:rPr>
        <w:t xml:space="preserve"> the</w:t>
      </w:r>
      <w:r w:rsidRPr="000709E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709E7">
        <w:rPr>
          <w:rFonts w:ascii="Arial" w:hAnsi="Arial" w:cs="Arial"/>
          <w:sz w:val="24"/>
          <w:szCs w:val="24"/>
          <w:lang w:val="en-US"/>
        </w:rPr>
        <w:t>ExCred</w:t>
      </w:r>
      <w:proofErr w:type="spellEnd"/>
      <w:r w:rsidRPr="000709E7">
        <w:rPr>
          <w:rFonts w:ascii="Arial" w:hAnsi="Arial" w:cs="Arial"/>
          <w:sz w:val="24"/>
          <w:szCs w:val="24"/>
          <w:lang w:val="en-US"/>
        </w:rPr>
        <w:t xml:space="preserve"> International in London on</w:t>
      </w:r>
      <w:r>
        <w:rPr>
          <w:rFonts w:ascii="Arial" w:hAnsi="Arial" w:cs="Arial"/>
          <w:sz w:val="24"/>
          <w:szCs w:val="24"/>
          <w:lang w:val="en-US"/>
        </w:rPr>
        <w:t xml:space="preserve"> 28</w:t>
      </w:r>
      <w:r w:rsidRPr="000709E7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and 29</w:t>
      </w:r>
      <w:r w:rsidRPr="000709E7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February </w:t>
      </w:r>
      <w:r w:rsidRPr="000709E7">
        <w:rPr>
          <w:rFonts w:ascii="Arial" w:hAnsi="Arial" w:cs="Arial"/>
          <w:sz w:val="24"/>
          <w:szCs w:val="24"/>
          <w:lang w:val="en-US"/>
        </w:rPr>
        <w:t>2024</w:t>
      </w:r>
      <w:r>
        <w:rPr>
          <w:rFonts w:ascii="Arial" w:hAnsi="Arial" w:cs="Arial"/>
          <w:sz w:val="24"/>
          <w:szCs w:val="24"/>
          <w:lang w:val="en-US"/>
        </w:rPr>
        <w:t xml:space="preserve"> and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ICISA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Surety week 2024</w:t>
      </w:r>
      <w:r w:rsidR="00CC55FF">
        <w:rPr>
          <w:rFonts w:ascii="Arial" w:hAnsi="Arial" w:cs="Arial"/>
          <w:sz w:val="24"/>
          <w:szCs w:val="24"/>
          <w:lang w:val="en-US"/>
        </w:rPr>
        <w:t xml:space="preserve"> on the 19-22</w:t>
      </w:r>
      <w:r w:rsidR="00CC55FF" w:rsidRPr="00CC55FF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="00CC55FF">
        <w:rPr>
          <w:rFonts w:ascii="Arial" w:hAnsi="Arial" w:cs="Arial"/>
          <w:sz w:val="24"/>
          <w:szCs w:val="24"/>
          <w:lang w:val="en-US"/>
        </w:rPr>
        <w:t xml:space="preserve"> February.</w:t>
      </w:r>
    </w:p>
    <w:p w14:paraId="7CE496B9" w14:textId="77777777" w:rsidR="00523E97" w:rsidRDefault="00523E97" w:rsidP="00C6687A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</w:pPr>
    </w:p>
    <w:p w14:paraId="22CE56D6" w14:textId="77777777" w:rsidR="00CC55FF" w:rsidRDefault="00A20718" w:rsidP="00C6687A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</w:pPr>
      <w:r w:rsidRPr="00A20718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What success can the trade credit and surety insurance industry look back on over the last 20 years? </w:t>
      </w:r>
    </w:p>
    <w:p w14:paraId="32332002" w14:textId="4C3FA159" w:rsidR="00A20718" w:rsidRDefault="00A20718" w:rsidP="00C6687A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</w:pPr>
      <w:r w:rsidRPr="00A20718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A global premium growth rate of 5-6% </w:t>
      </w:r>
      <w:r w:rsidR="00CC55FF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annually on average ov</w:t>
      </w:r>
      <w:r w:rsidRPr="00A20718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er this long period of time </w:t>
      </w:r>
      <w:proofErr w:type="spellStart"/>
      <w:r w:rsidRPr="00A20718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emphasises</w:t>
      </w:r>
      <w:proofErr w:type="spellEnd"/>
      <w:r w:rsidRPr="00A20718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 the importance and demand for th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ese</w:t>
      </w:r>
      <w:r w:rsidRPr="00A20718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 insurance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s</w:t>
      </w:r>
      <w:r w:rsidRPr="00A20718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. And despite the current economic and political situation, a further success story is expected.</w:t>
      </w:r>
    </w:p>
    <w:p w14:paraId="2F750923" w14:textId="77777777" w:rsidR="00A20718" w:rsidRDefault="00A20718" w:rsidP="006A49A9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3CF4A098" w14:textId="4CE0F826" w:rsidR="00A20718" w:rsidRDefault="00A20718" w:rsidP="006A49A9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A20718">
        <w:rPr>
          <w:rFonts w:ascii="Arial" w:hAnsi="Arial" w:cs="Arial"/>
          <w:sz w:val="24"/>
          <w:szCs w:val="24"/>
          <w:lang w:val="en-US"/>
        </w:rPr>
        <w:t xml:space="preserve">Of course, there are considerable challenges on the agenda. As a supporter and enabler of technical solutions, our focus is on </w:t>
      </w:r>
      <w:proofErr w:type="spellStart"/>
      <w:r w:rsidRPr="00A20718">
        <w:rPr>
          <w:rFonts w:ascii="Arial" w:hAnsi="Arial" w:cs="Arial"/>
          <w:sz w:val="24"/>
          <w:szCs w:val="24"/>
          <w:lang w:val="en-US"/>
        </w:rPr>
        <w:t>stabilising</w:t>
      </w:r>
      <w:proofErr w:type="spellEnd"/>
      <w:r w:rsidRPr="00A20718">
        <w:rPr>
          <w:rFonts w:ascii="Arial" w:hAnsi="Arial" w:cs="Arial"/>
          <w:sz w:val="24"/>
          <w:szCs w:val="24"/>
          <w:lang w:val="en-US"/>
        </w:rPr>
        <w:t xml:space="preserve"> the industry and exploiting market opportunities.</w:t>
      </w:r>
    </w:p>
    <w:p w14:paraId="3098D29C" w14:textId="77777777" w:rsidR="006A49A9" w:rsidRDefault="006A49A9" w:rsidP="006A49A9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FFB00DE" w14:textId="77777777" w:rsidR="00523E97" w:rsidRDefault="00523E97" w:rsidP="00523E97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</w:pPr>
      <w:proofErr w:type="spellStart"/>
      <w:r w:rsidRPr="0008657B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Digitalisation</w:t>
      </w:r>
      <w:proofErr w:type="spellEnd"/>
      <w:r w:rsidRPr="0008657B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 in the underwriting of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trade</w:t>
      </w:r>
      <w:r w:rsidRPr="0008657B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 credit insurance and in the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>surety</w:t>
      </w:r>
      <w:proofErr w:type="gramEnd"/>
      <w:r w:rsidRPr="0008657B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 business not only enables a transformation of processes, but also new, modern services through the connectivity of business partners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  <w:t xml:space="preserve"> within end-to-end processes.</w:t>
      </w:r>
    </w:p>
    <w:p w14:paraId="734DEFF2" w14:textId="77777777" w:rsidR="00523E97" w:rsidRDefault="00523E97" w:rsidP="006A49A9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4EE1E6BF" w14:textId="77777777" w:rsidR="00523E97" w:rsidRDefault="006A49A9" w:rsidP="00523E9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A49A9">
        <w:rPr>
          <w:rFonts w:ascii="Arial" w:hAnsi="Arial" w:cs="Arial"/>
          <w:sz w:val="24"/>
          <w:szCs w:val="24"/>
          <w:lang w:val="en-US"/>
        </w:rPr>
        <w:t xml:space="preserve">A key approach of the internal </w:t>
      </w:r>
      <w:proofErr w:type="spellStart"/>
      <w:r w:rsidRPr="006A49A9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6A49A9">
        <w:rPr>
          <w:rFonts w:ascii="Arial" w:hAnsi="Arial" w:cs="Arial"/>
          <w:sz w:val="24"/>
          <w:szCs w:val="24"/>
          <w:lang w:val="en-US"/>
        </w:rPr>
        <w:t xml:space="preserve"> in underwriting is the transformation of decision-making processes and the reduction of manual effort </w:t>
      </w:r>
      <w:r w:rsidR="00523E97">
        <w:rPr>
          <w:rFonts w:ascii="Arial" w:hAnsi="Arial" w:cs="Arial"/>
          <w:sz w:val="24"/>
          <w:szCs w:val="24"/>
          <w:lang w:val="en-US"/>
        </w:rPr>
        <w:t xml:space="preserve">as well as an </w:t>
      </w:r>
      <w:r w:rsidRPr="006A49A9">
        <w:rPr>
          <w:rFonts w:ascii="Arial" w:hAnsi="Arial" w:cs="Arial"/>
          <w:sz w:val="24"/>
          <w:szCs w:val="24"/>
          <w:lang w:val="en-US"/>
        </w:rPr>
        <w:t xml:space="preserve">increase in the speed of underwriting through efficiency gains. </w:t>
      </w:r>
    </w:p>
    <w:p w14:paraId="70CC734D" w14:textId="77777777" w:rsidR="00523E97" w:rsidRDefault="00523E97" w:rsidP="00523E9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63A53729" w14:textId="77777777" w:rsidR="00523E97" w:rsidRDefault="006A49A9" w:rsidP="00523E9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A49A9">
        <w:rPr>
          <w:rFonts w:ascii="Arial" w:hAnsi="Arial" w:cs="Arial"/>
          <w:sz w:val="24"/>
          <w:szCs w:val="24"/>
          <w:lang w:val="en-US"/>
        </w:rPr>
        <w:t>In addition, the focus is on technical connectivity between brokers and the insurance company. Significant competitive advantages can be achieved here compared to conventional processes through suitable technology.</w:t>
      </w:r>
      <w:r w:rsidR="00523E9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785B461" w14:textId="77777777" w:rsidR="00523E97" w:rsidRDefault="00523E97" w:rsidP="00523E9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4E2C7A62" w14:textId="54421DFF" w:rsidR="00523E97" w:rsidRDefault="00523E97" w:rsidP="00523E9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23E97">
        <w:rPr>
          <w:rFonts w:ascii="Arial" w:hAnsi="Arial" w:cs="Arial"/>
          <w:sz w:val="24"/>
          <w:szCs w:val="24"/>
          <w:lang w:val="en-US"/>
        </w:rPr>
        <w:t>But access to reinsurance is also supported by a high level of technological and secure underwriting support.</w:t>
      </w:r>
    </w:p>
    <w:p w14:paraId="19AB4832" w14:textId="77777777" w:rsidR="00027291" w:rsidRDefault="00027291" w:rsidP="00523E9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7626FA87" w14:textId="7E7427D0" w:rsidR="00523E97" w:rsidRDefault="00027291" w:rsidP="00523E9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27291">
        <w:rPr>
          <w:rFonts w:ascii="Arial" w:hAnsi="Arial" w:cs="Arial"/>
          <w:sz w:val="24"/>
          <w:szCs w:val="24"/>
          <w:lang w:val="en-US"/>
        </w:rPr>
        <w:lastRenderedPageBreak/>
        <w:t>Let's look at the expectation of credit insurance usage in the financial world.</w:t>
      </w:r>
      <w:r>
        <w:rPr>
          <w:rFonts w:ascii="Arial" w:hAnsi="Arial" w:cs="Arial"/>
          <w:sz w:val="24"/>
          <w:szCs w:val="24"/>
          <w:lang w:val="en-US"/>
        </w:rPr>
        <w:t xml:space="preserve"> The</w:t>
      </w:r>
      <w:r w:rsidR="00523E97" w:rsidRPr="00A56C07">
        <w:rPr>
          <w:rFonts w:ascii="Arial" w:hAnsi="Arial" w:cs="Arial"/>
          <w:sz w:val="24"/>
          <w:szCs w:val="24"/>
          <w:lang w:val="en-US"/>
        </w:rPr>
        <w:t xml:space="preserve"> use of credit insurance by banks and financial institutions will increase, as Basel III and in future Basel IV will increase the importance of insurance cover for limit decisions and </w:t>
      </w:r>
      <w:proofErr w:type="spellStart"/>
      <w:r w:rsidR="00523E97" w:rsidRPr="00A56C07">
        <w:rPr>
          <w:rFonts w:ascii="Arial" w:hAnsi="Arial" w:cs="Arial"/>
          <w:sz w:val="24"/>
          <w:szCs w:val="24"/>
          <w:lang w:val="en-US"/>
        </w:rPr>
        <w:t>capitalisation</w:t>
      </w:r>
      <w:proofErr w:type="spellEnd"/>
      <w:r w:rsidR="00523E97" w:rsidRPr="00A56C07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CA88557" w14:textId="1B5FEE1A" w:rsidR="00EF0C41" w:rsidRDefault="00EF0C41" w:rsidP="006A49A9">
      <w:pPr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/>
        </w:rPr>
      </w:pPr>
    </w:p>
    <w:p w14:paraId="0153AB7C" w14:textId="08EBEFA6" w:rsidR="00614665" w:rsidRDefault="0008657B" w:rsidP="00614665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8657B">
        <w:rPr>
          <w:rFonts w:ascii="Arial" w:hAnsi="Arial" w:cs="Arial"/>
          <w:sz w:val="24"/>
          <w:szCs w:val="24"/>
          <w:lang w:val="en-US"/>
        </w:rPr>
        <w:t xml:space="preserve">SCHUMANN is at the </w:t>
      </w:r>
      <w:proofErr w:type="spellStart"/>
      <w:r w:rsidRPr="0008657B">
        <w:rPr>
          <w:rFonts w:ascii="Arial" w:hAnsi="Arial" w:cs="Arial"/>
          <w:sz w:val="24"/>
          <w:szCs w:val="24"/>
          <w:lang w:val="en-US"/>
        </w:rPr>
        <w:t>centre</w:t>
      </w:r>
      <w:proofErr w:type="spellEnd"/>
      <w:r w:rsidRPr="0008657B">
        <w:rPr>
          <w:rFonts w:ascii="Arial" w:hAnsi="Arial" w:cs="Arial"/>
          <w:sz w:val="24"/>
          <w:szCs w:val="24"/>
          <w:lang w:val="en-US"/>
        </w:rPr>
        <w:t xml:space="preserve"> of the transformation through its close relationships with insurance companies </w:t>
      </w:r>
      <w:r w:rsidR="00614665">
        <w:rPr>
          <w:rFonts w:ascii="Arial" w:hAnsi="Arial" w:cs="Arial"/>
          <w:sz w:val="24"/>
          <w:szCs w:val="24"/>
          <w:lang w:val="en-US"/>
        </w:rPr>
        <w:t>and brokers</w:t>
      </w:r>
      <w:r w:rsidRPr="0008657B">
        <w:rPr>
          <w:rFonts w:ascii="Arial" w:hAnsi="Arial" w:cs="Arial"/>
          <w:sz w:val="24"/>
          <w:szCs w:val="24"/>
          <w:lang w:val="en-US"/>
        </w:rPr>
        <w:t xml:space="preserve">. </w:t>
      </w:r>
      <w:r w:rsidR="00614665" w:rsidRPr="00614665">
        <w:rPr>
          <w:rFonts w:ascii="Arial" w:hAnsi="Arial" w:cs="Arial"/>
          <w:sz w:val="24"/>
          <w:szCs w:val="24"/>
          <w:lang w:val="en-US"/>
        </w:rPr>
        <w:t xml:space="preserve">Our intensive and comprehensive networking in the industry also </w:t>
      </w:r>
      <w:r w:rsidR="003C3BBC">
        <w:rPr>
          <w:rFonts w:ascii="Arial" w:hAnsi="Arial" w:cs="Arial"/>
          <w:sz w:val="24"/>
          <w:szCs w:val="24"/>
          <w:lang w:val="en-US"/>
        </w:rPr>
        <w:t xml:space="preserve">comprises </w:t>
      </w:r>
      <w:r w:rsidR="00614665" w:rsidRPr="00614665"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 w:rsidR="00614665" w:rsidRPr="00614665">
        <w:rPr>
          <w:rFonts w:ascii="Arial" w:hAnsi="Arial" w:cs="Arial"/>
          <w:sz w:val="24"/>
          <w:szCs w:val="24"/>
          <w:lang w:val="en-US"/>
        </w:rPr>
        <w:t>ICISA</w:t>
      </w:r>
      <w:proofErr w:type="spellEnd"/>
      <w:r w:rsidR="00994BE8">
        <w:rPr>
          <w:rFonts w:ascii="Arial" w:hAnsi="Arial" w:cs="Arial"/>
          <w:sz w:val="24"/>
          <w:szCs w:val="24"/>
          <w:lang w:val="en-US"/>
        </w:rPr>
        <w:t xml:space="preserve"> </w:t>
      </w:r>
      <w:r w:rsidR="00994BE8" w:rsidRPr="00994BE8">
        <w:rPr>
          <w:rFonts w:ascii="Arial" w:hAnsi="Arial" w:cs="Arial"/>
          <w:sz w:val="24"/>
          <w:szCs w:val="24"/>
          <w:lang w:val="en-US"/>
        </w:rPr>
        <w:t xml:space="preserve">as well as </w:t>
      </w:r>
      <w:proofErr w:type="spellStart"/>
      <w:r w:rsidR="00994BE8" w:rsidRPr="00994BE8">
        <w:rPr>
          <w:rFonts w:ascii="Arial" w:hAnsi="Arial" w:cs="Arial"/>
          <w:sz w:val="24"/>
          <w:szCs w:val="24"/>
          <w:lang w:val="en-US"/>
        </w:rPr>
        <w:t>S</w:t>
      </w:r>
      <w:r w:rsidR="00994BE8">
        <w:rPr>
          <w:rFonts w:ascii="Arial" w:hAnsi="Arial" w:cs="Arial"/>
          <w:sz w:val="24"/>
          <w:szCs w:val="24"/>
          <w:lang w:val="en-US"/>
        </w:rPr>
        <w:t>CHUMANN</w:t>
      </w:r>
      <w:r w:rsidR="00994BE8" w:rsidRPr="00994BE8">
        <w:rPr>
          <w:rFonts w:ascii="Arial" w:hAnsi="Arial" w:cs="Arial"/>
          <w:sz w:val="24"/>
          <w:szCs w:val="24"/>
          <w:lang w:val="en-US"/>
        </w:rPr>
        <w:t>'s</w:t>
      </w:r>
      <w:proofErr w:type="spellEnd"/>
      <w:r w:rsidR="00994BE8" w:rsidRPr="00994BE8">
        <w:rPr>
          <w:rFonts w:ascii="Arial" w:hAnsi="Arial" w:cs="Arial"/>
          <w:sz w:val="24"/>
          <w:szCs w:val="24"/>
          <w:lang w:val="en-US"/>
        </w:rPr>
        <w:t xml:space="preserve"> strong network in the financial world, such as the </w:t>
      </w:r>
      <w:proofErr w:type="spellStart"/>
      <w:r w:rsidR="00994BE8">
        <w:rPr>
          <w:rFonts w:ascii="Arial" w:hAnsi="Arial" w:cs="Arial"/>
          <w:sz w:val="24"/>
          <w:szCs w:val="24"/>
          <w:lang w:val="en-US"/>
        </w:rPr>
        <w:t>FC</w:t>
      </w:r>
      <w:r w:rsidR="00994BE8" w:rsidRPr="00994BE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994BE8" w:rsidRPr="00994BE8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 w:rsidR="00994BE8" w:rsidRPr="00994BE8">
        <w:rPr>
          <w:rFonts w:ascii="Arial" w:hAnsi="Arial" w:cs="Arial"/>
          <w:sz w:val="24"/>
          <w:szCs w:val="24"/>
          <w:lang w:val="en-US"/>
        </w:rPr>
        <w:t>ITFA</w:t>
      </w:r>
      <w:proofErr w:type="spellEnd"/>
      <w:r w:rsidR="00994BE8" w:rsidRPr="00994BE8">
        <w:rPr>
          <w:rFonts w:ascii="Arial" w:hAnsi="Arial" w:cs="Arial"/>
          <w:sz w:val="24"/>
          <w:szCs w:val="24"/>
          <w:lang w:val="en-US"/>
        </w:rPr>
        <w:t>. Th</w:t>
      </w:r>
      <w:r w:rsidR="00994BE8">
        <w:rPr>
          <w:rFonts w:ascii="Arial" w:hAnsi="Arial" w:cs="Arial"/>
          <w:sz w:val="24"/>
          <w:szCs w:val="24"/>
          <w:lang w:val="en-US"/>
        </w:rPr>
        <w:t>ese</w:t>
      </w:r>
      <w:r w:rsidR="00994BE8" w:rsidRPr="00994BE8">
        <w:rPr>
          <w:rFonts w:ascii="Arial" w:hAnsi="Arial" w:cs="Arial"/>
          <w:sz w:val="24"/>
          <w:szCs w:val="24"/>
          <w:lang w:val="en-US"/>
        </w:rPr>
        <w:t xml:space="preserve"> close cooperation</w:t>
      </w:r>
      <w:r w:rsidR="00994BE8">
        <w:rPr>
          <w:rFonts w:ascii="Arial" w:hAnsi="Arial" w:cs="Arial"/>
          <w:sz w:val="24"/>
          <w:szCs w:val="24"/>
          <w:lang w:val="en-US"/>
        </w:rPr>
        <w:t>s</w:t>
      </w:r>
      <w:r w:rsidR="00994BE8" w:rsidRPr="00994BE8">
        <w:rPr>
          <w:rFonts w:ascii="Arial" w:hAnsi="Arial" w:cs="Arial"/>
          <w:sz w:val="24"/>
          <w:szCs w:val="24"/>
          <w:lang w:val="en-US"/>
        </w:rPr>
        <w:t xml:space="preserve"> gives us direct access to the expected regulatory developments for the financial and insurance sector.</w:t>
      </w:r>
    </w:p>
    <w:p w14:paraId="348B09CC" w14:textId="77777777" w:rsidR="00614665" w:rsidRDefault="00614665" w:rsidP="00614665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4A5B789A" w14:textId="2A1D6BF7" w:rsidR="00523E97" w:rsidRDefault="00AD6C0B" w:rsidP="00AD6C0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B43D0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While </w:t>
      </w:r>
      <w:r w:rsidR="0008657B">
        <w:rPr>
          <w:rFonts w:ascii="Arial" w:hAnsi="Arial" w:cs="Arial"/>
          <w:color w:val="000000" w:themeColor="text1"/>
          <w:sz w:val="24"/>
          <w:szCs w:val="24"/>
          <w:lang w:val="en-US"/>
        </w:rPr>
        <w:t>IT-supported</w:t>
      </w:r>
      <w:r w:rsidRPr="00B43D0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granting credit limits has long been implemented in IT solutions in credit risk management</w:t>
      </w:r>
      <w:r w:rsidR="0008657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underwriting</w:t>
      </w:r>
      <w:r w:rsidRPr="00B43D02">
        <w:rPr>
          <w:rFonts w:ascii="Arial" w:hAnsi="Arial" w:cs="Arial"/>
          <w:color w:val="000000" w:themeColor="text1"/>
          <w:sz w:val="24"/>
          <w:szCs w:val="24"/>
          <w:lang w:val="en-US"/>
        </w:rPr>
        <w:t>, we are now turning our attention to AI-supported forecasting of default risks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</w:t>
      </w:r>
      <w:r w:rsidRPr="00B43D02">
        <w:rPr>
          <w:rFonts w:ascii="Arial" w:hAnsi="Arial" w:cs="Arial"/>
          <w:color w:val="000000" w:themeColor="text1"/>
          <w:sz w:val="24"/>
          <w:szCs w:val="24"/>
          <w:lang w:val="en-US"/>
        </w:rPr>
        <w:t>the prediction of incoming payments</w:t>
      </w:r>
      <w:r w:rsidR="003E2BD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based on payment experiences. </w:t>
      </w:r>
      <w:r w:rsidR="003E2BD6" w:rsidRPr="003E2BD6">
        <w:rPr>
          <w:rFonts w:ascii="Arial" w:hAnsi="Arial" w:cs="Arial"/>
          <w:color w:val="000000" w:themeColor="text1"/>
          <w:sz w:val="24"/>
          <w:szCs w:val="24"/>
          <w:lang w:val="en-US"/>
        </w:rPr>
        <w:t>Data from credit agencies refine the results of the insolvency forecast</w:t>
      </w:r>
      <w:r w:rsidR="00A3597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3E08BF1B" w14:textId="77777777" w:rsidR="00523E97" w:rsidRDefault="00523E97" w:rsidP="00AD6C0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7F5173CA" w14:textId="4F05381B" w:rsidR="00523E97" w:rsidRDefault="00A56C07" w:rsidP="00C6687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A56C07">
        <w:rPr>
          <w:rFonts w:ascii="Arial" w:hAnsi="Arial" w:cs="Arial"/>
          <w:color w:val="000000" w:themeColor="text1"/>
          <w:sz w:val="24"/>
          <w:szCs w:val="24"/>
          <w:lang w:val="en-US"/>
        </w:rPr>
        <w:t>AI for payment forecast and insolvency forecast has an impact on limit decisions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:</w:t>
      </w:r>
      <w:r w:rsidRPr="00A56C0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Higher precision of the forecast to avoid claims.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A3597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Another effect is fraud prevention, like </w:t>
      </w:r>
      <w:r w:rsidR="00994BE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identification of </w:t>
      </w:r>
      <w:r w:rsidR="00A35976">
        <w:rPr>
          <w:rFonts w:ascii="Arial" w:hAnsi="Arial" w:cs="Arial"/>
          <w:color w:val="000000" w:themeColor="text1"/>
          <w:sz w:val="24"/>
          <w:szCs w:val="24"/>
          <w:lang w:val="en-US"/>
        </w:rPr>
        <w:t>fraudulent invoices.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A56C07">
        <w:rPr>
          <w:rFonts w:ascii="Arial" w:hAnsi="Arial" w:cs="Arial"/>
          <w:color w:val="000000" w:themeColor="text1"/>
          <w:sz w:val="24"/>
          <w:szCs w:val="24"/>
          <w:lang w:val="en-US"/>
        </w:rPr>
        <w:t>The economic effect</w:t>
      </w:r>
      <w:r w:rsidR="00994BE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these forecasts</w:t>
      </w:r>
      <w:r w:rsidRPr="00A56C0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for policyholders is just as significant as for </w:t>
      </w:r>
      <w:r w:rsidR="00994BE8">
        <w:rPr>
          <w:rFonts w:ascii="Arial" w:hAnsi="Arial" w:cs="Arial"/>
          <w:color w:val="000000" w:themeColor="text1"/>
          <w:sz w:val="24"/>
          <w:szCs w:val="24"/>
          <w:lang w:val="en-US"/>
        </w:rPr>
        <w:t>insurers.</w:t>
      </w:r>
    </w:p>
    <w:p w14:paraId="1ECC2595" w14:textId="77777777" w:rsidR="00EB59EC" w:rsidRDefault="00EB59EC" w:rsidP="00C6687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63BE2625" w14:textId="31CBD6C6" w:rsidR="00931142" w:rsidRPr="003C3BBC" w:rsidRDefault="00EB59EC" w:rsidP="00C6687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B59E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With the current generation of generative AI systems such as ChatGPT, artificial intelligence has arrived in the mainstream. The use of this technology in underwriting is currently being closely </w:t>
      </w:r>
      <w:proofErr w:type="spellStart"/>
      <w:r w:rsidRPr="00EB59EC">
        <w:rPr>
          <w:rFonts w:ascii="Arial" w:hAnsi="Arial" w:cs="Arial"/>
          <w:color w:val="000000" w:themeColor="text1"/>
          <w:sz w:val="24"/>
          <w:szCs w:val="24"/>
          <w:lang w:val="en-US"/>
        </w:rPr>
        <w:t>scrutinised</w:t>
      </w:r>
      <w:proofErr w:type="spellEnd"/>
      <w:r w:rsidRPr="00EB59E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The forms of application </w:t>
      </w:r>
      <w:r w:rsidR="005F5284" w:rsidRPr="00B43D02">
        <w:rPr>
          <w:rFonts w:ascii="Arial" w:hAnsi="Arial" w:cs="Arial"/>
          <w:color w:val="000000" w:themeColor="text1"/>
          <w:sz w:val="24"/>
          <w:szCs w:val="24"/>
          <w:lang w:val="en-US"/>
        </w:rPr>
        <w:t>depend on the competences granted to the IT solution or the extent to which legal regulations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permit automated underwriting support.</w:t>
      </w:r>
    </w:p>
    <w:p w14:paraId="2466DC55" w14:textId="77777777" w:rsidR="000709E7" w:rsidRDefault="000709E7">
      <w:pPr>
        <w:rPr>
          <w:rFonts w:ascii="Arial" w:hAnsi="Arial" w:cs="Arial"/>
          <w:sz w:val="24"/>
          <w:szCs w:val="24"/>
          <w:lang w:val="en-US"/>
        </w:rPr>
      </w:pPr>
    </w:p>
    <w:p w14:paraId="4631E01B" w14:textId="77777777" w:rsidR="00372738" w:rsidRDefault="00372738" w:rsidP="00372738">
      <w:pPr>
        <w:spacing w:after="240"/>
        <w:rPr>
          <w:rFonts w:ascii="Arial" w:eastAsiaTheme="minorEastAsia" w:hAnsi="Arial" w:cs="Arial"/>
          <w:b/>
          <w:bCs/>
          <w:caps/>
          <w:noProof/>
          <w:color w:val="143250"/>
          <w:sz w:val="24"/>
          <w:szCs w:val="24"/>
          <w:lang w:val="en-US" w:eastAsia="de-DE"/>
        </w:rPr>
      </w:pPr>
      <w:r>
        <w:rPr>
          <w:rFonts w:ascii="Arial" w:eastAsiaTheme="minorEastAsia" w:hAnsi="Arial" w:cs="Arial"/>
          <w:b/>
          <w:bCs/>
          <w:caps/>
          <w:noProof/>
          <w:color w:val="143250"/>
          <w:sz w:val="24"/>
          <w:szCs w:val="24"/>
          <w:lang w:val="en-US" w:eastAsia="de-DE"/>
        </w:rPr>
        <w:t>SCHUMANN</w:t>
      </w:r>
    </w:p>
    <w:p w14:paraId="026F4F18" w14:textId="77777777" w:rsidR="00372738" w:rsidRPr="00372738" w:rsidRDefault="00372738" w:rsidP="00372738">
      <w:pPr>
        <w:rPr>
          <w:rFonts w:ascii="Arial" w:eastAsiaTheme="minorEastAsia" w:hAnsi="Arial" w:cs="Arial"/>
          <w:b/>
          <w:bCs/>
          <w:noProof/>
          <w:color w:val="000000" w:themeColor="text1"/>
          <w:sz w:val="20"/>
          <w:szCs w:val="20"/>
          <w:lang w:val="en-US" w:eastAsia="de-DE"/>
        </w:rPr>
      </w:pPr>
      <w:r w:rsidRPr="00372738">
        <w:rPr>
          <w:rFonts w:ascii="Arial" w:eastAsiaTheme="minorEastAsia" w:hAnsi="Arial" w:cs="Arial"/>
          <w:b/>
          <w:bCs/>
          <w:noProof/>
          <w:color w:val="000000" w:themeColor="text1"/>
          <w:sz w:val="20"/>
          <w:szCs w:val="20"/>
          <w:lang w:val="en-US" w:eastAsia="de-DE"/>
        </w:rPr>
        <w:t>Robert Meters</w:t>
      </w:r>
    </w:p>
    <w:p w14:paraId="0339F2AF" w14:textId="77777777" w:rsidR="00372738" w:rsidRPr="00372738" w:rsidRDefault="00372738" w:rsidP="00372738">
      <w:pPr>
        <w:spacing w:after="240"/>
        <w:rPr>
          <w:rFonts w:ascii="Arial" w:eastAsiaTheme="minorEastAsia" w:hAnsi="Arial" w:cs="Arial"/>
          <w:b/>
          <w:bCs/>
          <w:caps/>
          <w:noProof/>
          <w:color w:val="000000" w:themeColor="text1"/>
          <w:sz w:val="18"/>
          <w:szCs w:val="18"/>
          <w:lang w:val="en-US" w:eastAsia="de-DE"/>
        </w:rPr>
      </w:pPr>
      <w:r w:rsidRPr="00372738">
        <w:rPr>
          <w:rFonts w:ascii="Arial" w:eastAsiaTheme="minorEastAsia" w:hAnsi="Arial" w:cs="Arial"/>
          <w:b/>
          <w:bCs/>
          <w:caps/>
          <w:noProof/>
          <w:color w:val="000000" w:themeColor="text1"/>
          <w:sz w:val="18"/>
          <w:szCs w:val="18"/>
          <w:lang w:val="en-US" w:eastAsia="de-DE"/>
        </w:rPr>
        <w:t>director global business</w:t>
      </w:r>
    </w:p>
    <w:p w14:paraId="530602EE" w14:textId="5477C8CC" w:rsidR="00372738" w:rsidRPr="00372738" w:rsidRDefault="00372738" w:rsidP="00372738">
      <w:pPr>
        <w:spacing w:after="240"/>
        <w:rPr>
          <w:rFonts w:ascii="Arial" w:eastAsiaTheme="minorEastAsia" w:hAnsi="Arial" w:cs="Arial"/>
          <w:noProof/>
          <w:sz w:val="18"/>
          <w:szCs w:val="18"/>
          <w:lang w:val="en-US" w:eastAsia="de-DE"/>
        </w:rPr>
      </w:pPr>
      <w:hyperlink r:id="rId5" w:history="1">
        <w:r>
          <w:rPr>
            <w:rStyle w:val="Hyperlink"/>
            <w:rFonts w:ascii="Arial" w:eastAsiaTheme="minorEastAsia" w:hAnsi="Arial" w:cs="Arial"/>
            <w:noProof/>
            <w:sz w:val="18"/>
            <w:szCs w:val="18"/>
            <w:lang w:val="en-US" w:eastAsia="de-DE"/>
          </w:rPr>
          <w:t>r.meters@prof-schumann.de</w:t>
        </w:r>
      </w:hyperlink>
      <w:r>
        <w:rPr>
          <w:rFonts w:ascii="Arial" w:eastAsiaTheme="minorEastAsia" w:hAnsi="Arial" w:cs="Arial"/>
          <w:noProof/>
          <w:sz w:val="18"/>
          <w:szCs w:val="18"/>
          <w:lang w:val="en-US" w:eastAsia="de-DE"/>
        </w:rPr>
        <w:br/>
        <w:t>+49 (0) 551 383 15 126</w:t>
      </w:r>
      <w:r>
        <w:rPr>
          <w:rFonts w:ascii="Arial" w:eastAsiaTheme="minorEastAsia" w:hAnsi="Arial" w:cs="Arial"/>
          <w:noProof/>
          <w:sz w:val="18"/>
          <w:szCs w:val="18"/>
          <w:lang w:val="en-US" w:eastAsia="de-DE"/>
        </w:rPr>
        <w:br/>
        <w:t>+49 (0) 178 820 5903 (Mobile)</w:t>
      </w:r>
    </w:p>
    <w:sectPr w:rsidR="00372738" w:rsidRPr="003727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A5EA0"/>
    <w:multiLevelType w:val="hybridMultilevel"/>
    <w:tmpl w:val="D7F68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5FE"/>
    <w:multiLevelType w:val="hybridMultilevel"/>
    <w:tmpl w:val="1A4E8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404E8"/>
    <w:multiLevelType w:val="hybridMultilevel"/>
    <w:tmpl w:val="DF3C9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6851">
    <w:abstractNumId w:val="0"/>
  </w:num>
  <w:num w:numId="2" w16cid:durableId="425463818">
    <w:abstractNumId w:val="2"/>
  </w:num>
  <w:num w:numId="3" w16cid:durableId="30686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17"/>
    <w:rsid w:val="000142FA"/>
    <w:rsid w:val="00027291"/>
    <w:rsid w:val="00043F63"/>
    <w:rsid w:val="000709E7"/>
    <w:rsid w:val="0008657B"/>
    <w:rsid w:val="000A519F"/>
    <w:rsid w:val="000B2D72"/>
    <w:rsid w:val="000C707F"/>
    <w:rsid w:val="000D4CC4"/>
    <w:rsid w:val="00104311"/>
    <w:rsid w:val="00133E42"/>
    <w:rsid w:val="00180117"/>
    <w:rsid w:val="001E54BD"/>
    <w:rsid w:val="00260886"/>
    <w:rsid w:val="00280052"/>
    <w:rsid w:val="002E41DC"/>
    <w:rsid w:val="00372738"/>
    <w:rsid w:val="00384179"/>
    <w:rsid w:val="003C3BBC"/>
    <w:rsid w:val="003C7B2C"/>
    <w:rsid w:val="003E2BD6"/>
    <w:rsid w:val="00412824"/>
    <w:rsid w:val="004D5996"/>
    <w:rsid w:val="004F1EE9"/>
    <w:rsid w:val="00523E97"/>
    <w:rsid w:val="005355DB"/>
    <w:rsid w:val="00541E2E"/>
    <w:rsid w:val="005530C7"/>
    <w:rsid w:val="00576FF8"/>
    <w:rsid w:val="00580197"/>
    <w:rsid w:val="00596712"/>
    <w:rsid w:val="005A7029"/>
    <w:rsid w:val="005B6595"/>
    <w:rsid w:val="005E6E0B"/>
    <w:rsid w:val="005E706C"/>
    <w:rsid w:val="005F5284"/>
    <w:rsid w:val="00614665"/>
    <w:rsid w:val="00623B2A"/>
    <w:rsid w:val="006324C9"/>
    <w:rsid w:val="00647380"/>
    <w:rsid w:val="00651C97"/>
    <w:rsid w:val="00664420"/>
    <w:rsid w:val="00675A9F"/>
    <w:rsid w:val="00681229"/>
    <w:rsid w:val="006A49A9"/>
    <w:rsid w:val="00705D65"/>
    <w:rsid w:val="00712495"/>
    <w:rsid w:val="00714950"/>
    <w:rsid w:val="00757C3C"/>
    <w:rsid w:val="00776C68"/>
    <w:rsid w:val="007869F4"/>
    <w:rsid w:val="007978D7"/>
    <w:rsid w:val="007C4997"/>
    <w:rsid w:val="00827139"/>
    <w:rsid w:val="008718D8"/>
    <w:rsid w:val="008B1AB2"/>
    <w:rsid w:val="0093034C"/>
    <w:rsid w:val="00931142"/>
    <w:rsid w:val="00972B16"/>
    <w:rsid w:val="00994BE8"/>
    <w:rsid w:val="00A20718"/>
    <w:rsid w:val="00A22D77"/>
    <w:rsid w:val="00A35976"/>
    <w:rsid w:val="00A4117D"/>
    <w:rsid w:val="00A5618B"/>
    <w:rsid w:val="00A56C07"/>
    <w:rsid w:val="00A7518E"/>
    <w:rsid w:val="00A82DA3"/>
    <w:rsid w:val="00AD6C0B"/>
    <w:rsid w:val="00AF3A86"/>
    <w:rsid w:val="00B11C51"/>
    <w:rsid w:val="00B43D02"/>
    <w:rsid w:val="00B5052A"/>
    <w:rsid w:val="00B53C78"/>
    <w:rsid w:val="00B7244F"/>
    <w:rsid w:val="00B72A1D"/>
    <w:rsid w:val="00BB50A2"/>
    <w:rsid w:val="00BE3F11"/>
    <w:rsid w:val="00C1265F"/>
    <w:rsid w:val="00C6687A"/>
    <w:rsid w:val="00CB2173"/>
    <w:rsid w:val="00CC4964"/>
    <w:rsid w:val="00CC55FF"/>
    <w:rsid w:val="00D42332"/>
    <w:rsid w:val="00D56334"/>
    <w:rsid w:val="00D741CC"/>
    <w:rsid w:val="00DE0A45"/>
    <w:rsid w:val="00DF3A9B"/>
    <w:rsid w:val="00E40DE0"/>
    <w:rsid w:val="00E449E0"/>
    <w:rsid w:val="00E63704"/>
    <w:rsid w:val="00E6561E"/>
    <w:rsid w:val="00E71AED"/>
    <w:rsid w:val="00E832F7"/>
    <w:rsid w:val="00E85286"/>
    <w:rsid w:val="00E95C63"/>
    <w:rsid w:val="00EB59EC"/>
    <w:rsid w:val="00EF0C41"/>
    <w:rsid w:val="00F03544"/>
    <w:rsid w:val="00F25496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F6D7"/>
  <w15:chartTrackingRefBased/>
  <w15:docId w15:val="{C03332A6-F95B-43C1-8479-9C53C385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F3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114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F3A8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F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F3A86"/>
    <w:rPr>
      <w:i/>
      <w:iCs/>
    </w:rPr>
  </w:style>
  <w:style w:type="character" w:styleId="Fett">
    <w:name w:val="Strong"/>
    <w:basedOn w:val="Absatz-Standardschriftart"/>
    <w:uiPriority w:val="22"/>
    <w:qFormat/>
    <w:rsid w:val="00623B2A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372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883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meters@prof-schuman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Schumann, Matthias</dc:creator>
  <cp:keywords/>
  <dc:description/>
  <cp:lastModifiedBy>meters@prof-schumann.de</cp:lastModifiedBy>
  <cp:revision>30</cp:revision>
  <cp:lastPrinted>2024-03-28T06:54:00Z</cp:lastPrinted>
  <dcterms:created xsi:type="dcterms:W3CDTF">2024-03-27T13:40:00Z</dcterms:created>
  <dcterms:modified xsi:type="dcterms:W3CDTF">2024-04-04T11:21:00Z</dcterms:modified>
</cp:coreProperties>
</file>